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F2628" w:rsidRDefault="00F92268" w:rsidP="00850792">
      <w:pPr>
        <w:pStyle w:val="BodyText"/>
        <w:rPr>
          <w:sz w:val="6"/>
          <w:szCs w:val="6"/>
        </w:rPr>
      </w:pPr>
      <w:r w:rsidRPr="00BF2628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F2628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BF2628" w:rsidRDefault="00F92268" w:rsidP="00A350C4">
            <w:pPr>
              <w:pStyle w:val="RefTableHeader"/>
            </w:pPr>
            <w:r w:rsidRPr="00BF2628">
              <w:t>Reference number(s)</w:t>
            </w:r>
          </w:p>
        </w:tc>
      </w:tr>
      <w:tr w:rsidR="00F92268" w:rsidRPr="00BF2628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AEF08FA" w:rsidR="00F92268" w:rsidRPr="00BF2628" w:rsidRDefault="00DE080B" w:rsidP="00EC3BCC">
            <w:pPr>
              <w:pStyle w:val="RefTableData"/>
            </w:pPr>
            <w:r w:rsidRPr="00BF2628">
              <w:t>6538-A</w:t>
            </w:r>
          </w:p>
        </w:tc>
      </w:tr>
    </w:tbl>
    <w:p w14:paraId="74FBA5B4" w14:textId="77777777" w:rsidR="00051356" w:rsidRPr="00BF2628" w:rsidRDefault="00051356" w:rsidP="00A672B3">
      <w:pPr>
        <w:pStyle w:val="BodyText"/>
        <w:rPr>
          <w:b/>
          <w:bCs/>
          <w:sz w:val="16"/>
          <w:szCs w:val="16"/>
        </w:rPr>
        <w:sectPr w:rsidR="00051356" w:rsidRPr="00BF2628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43E0354" w:rsidR="004B15BB" w:rsidRPr="00BF2628" w:rsidRDefault="00DE080B" w:rsidP="007E5C16">
      <w:pPr>
        <w:pStyle w:val="Heading1"/>
      </w:pPr>
      <w:r w:rsidRPr="00BF2628">
        <w:t>Specialty Guideline Management</w:t>
      </w:r>
      <w:r w:rsidR="00277791" w:rsidRPr="00BF2628">
        <w:br/>
      </w:r>
      <w:proofErr w:type="spellStart"/>
      <w:r w:rsidRPr="00BF2628">
        <w:t>Piasky</w:t>
      </w:r>
      <w:proofErr w:type="spellEnd"/>
    </w:p>
    <w:p w14:paraId="78861C92" w14:textId="1A12753A" w:rsidR="00203468" w:rsidRPr="00BF2628" w:rsidRDefault="00C64534" w:rsidP="008E0F0D">
      <w:pPr>
        <w:pStyle w:val="Heading2"/>
      </w:pPr>
      <w:r w:rsidRPr="00BF2628">
        <w:t xml:space="preserve">Products Referenced by this </w:t>
      </w:r>
      <w:r w:rsidR="00501602" w:rsidRPr="00BF2628">
        <w:t>Document</w:t>
      </w:r>
    </w:p>
    <w:p w14:paraId="5455152B" w14:textId="01A3E8C9" w:rsidR="008E0F0D" w:rsidRPr="00BF2628" w:rsidRDefault="00D82D85" w:rsidP="008B73E8">
      <w:pPr>
        <w:pStyle w:val="BodyText"/>
      </w:pPr>
      <w:r w:rsidRPr="00BF2628">
        <w:t xml:space="preserve">Drugs that are listed in the </w:t>
      </w:r>
      <w:r w:rsidR="000315F1" w:rsidRPr="00BF2628">
        <w:t>following table</w:t>
      </w:r>
      <w:r w:rsidRPr="00BF2628">
        <w:t xml:space="preserve"> include both brand and generic and all dosage forms and strengths unless otherwise stated. O</w:t>
      </w:r>
      <w:r w:rsidR="00936C20" w:rsidRPr="00BF2628">
        <w:t>ver</w:t>
      </w:r>
      <w:r w:rsidR="00B00C36">
        <w:t>-</w:t>
      </w:r>
      <w:r w:rsidR="00936C20" w:rsidRPr="00BF2628">
        <w:t>the</w:t>
      </w:r>
      <w:r w:rsidR="00B00C36">
        <w:t>-</w:t>
      </w:r>
      <w:r w:rsidR="00936C20" w:rsidRPr="00BF2628">
        <w:t>counter</w:t>
      </w:r>
      <w:r w:rsidRPr="00BF2628">
        <w:t xml:space="preserve"> </w:t>
      </w:r>
      <w:r w:rsidR="008B78AC" w:rsidRPr="00BF2628">
        <w:t xml:space="preserve">(OTC) </w:t>
      </w:r>
      <w:r w:rsidRPr="00BF2628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B00C36" w:rsidRPr="00BD1CC1" w14:paraId="02129972" w14:textId="77777777" w:rsidTr="00B00C36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1CA2DCED" w14:textId="77777777" w:rsidR="00B00C36" w:rsidRPr="00BD1CC1" w:rsidRDefault="00B00C36" w:rsidP="00747B1F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2F0230B0" w14:textId="77777777" w:rsidR="00B00C36" w:rsidRPr="00BD1CC1" w:rsidRDefault="00B00C36" w:rsidP="00747B1F">
            <w:pPr>
              <w:pStyle w:val="TableHeader"/>
            </w:pPr>
            <w:r w:rsidRPr="00BD1CC1">
              <w:t>Generic Name</w:t>
            </w:r>
          </w:p>
        </w:tc>
      </w:tr>
      <w:tr w:rsidR="00B00C36" w:rsidRPr="00BD1CC1" w14:paraId="6936CF49" w14:textId="77777777" w:rsidTr="00B00C36">
        <w:trPr>
          <w:cantSplit/>
        </w:trPr>
        <w:tc>
          <w:tcPr>
            <w:tcW w:w="5265" w:type="dxa"/>
          </w:tcPr>
          <w:p w14:paraId="1E956529" w14:textId="35F74DEF" w:rsidR="00B00C36" w:rsidRPr="00BD1CC1" w:rsidRDefault="00B00C36" w:rsidP="00747B1F">
            <w:pPr>
              <w:pStyle w:val="TableDataUnpadded"/>
            </w:pPr>
            <w:proofErr w:type="spellStart"/>
            <w:r w:rsidRPr="00B00C36">
              <w:t>Piasky</w:t>
            </w:r>
            <w:proofErr w:type="spellEnd"/>
          </w:p>
        </w:tc>
        <w:tc>
          <w:tcPr>
            <w:tcW w:w="5595" w:type="dxa"/>
          </w:tcPr>
          <w:p w14:paraId="645698F5" w14:textId="528FC4C7" w:rsidR="00B00C36" w:rsidRPr="00BD1CC1" w:rsidRDefault="00B00C36" w:rsidP="00747B1F">
            <w:pPr>
              <w:pStyle w:val="TableDataUnpadded"/>
            </w:pPr>
            <w:proofErr w:type="spellStart"/>
            <w:r w:rsidRPr="00B00C36">
              <w:t>crovalimab-akkz</w:t>
            </w:r>
            <w:proofErr w:type="spellEnd"/>
          </w:p>
        </w:tc>
      </w:tr>
    </w:tbl>
    <w:bookmarkEnd w:id="0"/>
    <w:p w14:paraId="14CE6108" w14:textId="3F43FB6F" w:rsidR="00FC1AAD" w:rsidRPr="00BF2628" w:rsidRDefault="00ED052F" w:rsidP="00ED052F">
      <w:pPr>
        <w:pStyle w:val="Heading2"/>
      </w:pPr>
      <w:r w:rsidRPr="00BF2628">
        <w:t>Indications</w:t>
      </w:r>
    </w:p>
    <w:p w14:paraId="5C40B93C" w14:textId="3000FD69" w:rsidR="00DE080B" w:rsidRPr="00BF2628" w:rsidRDefault="00DE080B" w:rsidP="00DE080B">
      <w:pPr>
        <w:pStyle w:val="BodyText"/>
      </w:pPr>
      <w:r w:rsidRPr="00BF262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E11B821" w:rsidR="00ED052F" w:rsidRPr="00BF2628" w:rsidRDefault="00ED052F" w:rsidP="00ED052F">
      <w:pPr>
        <w:pStyle w:val="Heading3"/>
        <w:keepNext w:val="0"/>
      </w:pPr>
      <w:r w:rsidRPr="00BF2628">
        <w:t>FDA-approved Indications</w:t>
      </w:r>
      <w:r w:rsidR="00DE080B" w:rsidRPr="00BF2628">
        <w:rPr>
          <w:vertAlign w:val="superscript"/>
        </w:rPr>
        <w:t>1</w:t>
      </w:r>
    </w:p>
    <w:p w14:paraId="6AF2CC5B" w14:textId="77777777" w:rsidR="00DE080B" w:rsidRPr="00BF2628" w:rsidRDefault="00DE080B" w:rsidP="00DE080B">
      <w:pPr>
        <w:pStyle w:val="BodyText"/>
      </w:pPr>
      <w:proofErr w:type="spellStart"/>
      <w:r w:rsidRPr="00BF2628">
        <w:t>Piaksy</w:t>
      </w:r>
      <w:proofErr w:type="spellEnd"/>
      <w:r w:rsidRPr="00BF2628">
        <w:t xml:space="preserve"> is in indicated for the treatment of adult and pediatric patients 13 years and older with paroxysmal nocturnal hemoglobinuria (PNH) and body weight of at least 40 kg.</w:t>
      </w:r>
    </w:p>
    <w:p w14:paraId="5262BF79" w14:textId="77777777" w:rsidR="00DE080B" w:rsidRPr="00BF2628" w:rsidRDefault="00DE080B" w:rsidP="00DE080B">
      <w:pPr>
        <w:pStyle w:val="BodyText"/>
      </w:pPr>
      <w:r w:rsidRPr="00BF2628">
        <w:t>All other indications are considered experimental/investigational and not medically necessary.</w:t>
      </w:r>
    </w:p>
    <w:p w14:paraId="25F48CE3" w14:textId="78D1858E" w:rsidR="00DE080B" w:rsidRPr="00BF2628" w:rsidRDefault="00DE080B" w:rsidP="00DE080B">
      <w:pPr>
        <w:pStyle w:val="Heading2"/>
      </w:pPr>
      <w:r w:rsidRPr="00BF2628">
        <w:t>Documentation</w:t>
      </w:r>
    </w:p>
    <w:p w14:paraId="31CDA9AC" w14:textId="77777777" w:rsidR="00DE080B" w:rsidRPr="00BF2628" w:rsidRDefault="00DE080B" w:rsidP="00DE080B">
      <w:pPr>
        <w:pStyle w:val="BodyText"/>
      </w:pPr>
      <w:r w:rsidRPr="00BF2628">
        <w:t>Submission of the following information is necessary to initiate the prior authorization review:</w:t>
      </w:r>
    </w:p>
    <w:p w14:paraId="39F2F0B8" w14:textId="77777777" w:rsidR="00DE080B" w:rsidRPr="00BF2628" w:rsidRDefault="00DE080B" w:rsidP="00DE080B">
      <w:pPr>
        <w:pStyle w:val="ListParagraph"/>
        <w:numPr>
          <w:ilvl w:val="0"/>
          <w:numId w:val="35"/>
        </w:numPr>
      </w:pPr>
      <w:r w:rsidRPr="00BF2628">
        <w:t>For initial requests: Flow cytometry used to show results of glycosylphosphatidylinositol-anchored proteins (GPI-APs) deficiency.</w:t>
      </w:r>
    </w:p>
    <w:p w14:paraId="38099664" w14:textId="77777777" w:rsidR="00DE080B" w:rsidRPr="00BF2628" w:rsidRDefault="00DE080B" w:rsidP="00DE080B">
      <w:pPr>
        <w:pStyle w:val="ListParagraph"/>
        <w:numPr>
          <w:ilvl w:val="0"/>
          <w:numId w:val="35"/>
        </w:numPr>
      </w:pPr>
      <w:r w:rsidRPr="00BF2628">
        <w:t>For continuation requests: Chart notes or medical record documentation supporting positive clinical response.</w:t>
      </w:r>
    </w:p>
    <w:p w14:paraId="10840677" w14:textId="18FD81F0" w:rsidR="00DE080B" w:rsidRPr="00BF2628" w:rsidRDefault="00DE080B" w:rsidP="00DE080B">
      <w:pPr>
        <w:pStyle w:val="Heading2"/>
      </w:pPr>
      <w:r w:rsidRPr="00BF2628">
        <w:lastRenderedPageBreak/>
        <w:t>Coverage Criteria</w:t>
      </w:r>
    </w:p>
    <w:p w14:paraId="66D0F792" w14:textId="506E96A6" w:rsidR="00DE080B" w:rsidRPr="00BF2628" w:rsidRDefault="00DE080B" w:rsidP="00DE080B">
      <w:pPr>
        <w:pStyle w:val="Heading3"/>
      </w:pPr>
      <w:r w:rsidRPr="00BF2628">
        <w:t>Paroxysmal Nocturnal Hemoglobinuria</w:t>
      </w:r>
      <w:r w:rsidRPr="00BF2628">
        <w:rPr>
          <w:vertAlign w:val="superscript"/>
        </w:rPr>
        <w:t>1-7</w:t>
      </w:r>
    </w:p>
    <w:p w14:paraId="79B692DF" w14:textId="77777777" w:rsidR="00DE080B" w:rsidRPr="00BF2628" w:rsidRDefault="00DE080B" w:rsidP="00DE080B">
      <w:pPr>
        <w:pStyle w:val="BodyText"/>
      </w:pPr>
      <w:r w:rsidRPr="00BF2628">
        <w:t>Authorization of 6 months may be granted for treatment of paroxysmal nocturnal hemoglobinuria (PNH) when all of the following criteria are met:</w:t>
      </w:r>
    </w:p>
    <w:p w14:paraId="6C2D785C" w14:textId="3D963C91" w:rsidR="00DE080B" w:rsidRPr="00BF2628" w:rsidRDefault="00DE080B" w:rsidP="00DE080B">
      <w:pPr>
        <w:pStyle w:val="ListParagraph"/>
        <w:numPr>
          <w:ilvl w:val="0"/>
          <w:numId w:val="36"/>
        </w:numPr>
      </w:pPr>
      <w:bookmarkStart w:id="1" w:name="_Hlk72912280"/>
      <w:r w:rsidRPr="00BF2628">
        <w:t>Member is 13 years of age or older</w:t>
      </w:r>
    </w:p>
    <w:p w14:paraId="276F4B4C" w14:textId="479E4D7C" w:rsidR="00DE080B" w:rsidRPr="00BF2628" w:rsidRDefault="00DE080B" w:rsidP="00DE080B">
      <w:pPr>
        <w:pStyle w:val="ListParagraph"/>
        <w:numPr>
          <w:ilvl w:val="0"/>
          <w:numId w:val="36"/>
        </w:numPr>
      </w:pPr>
      <w:r w:rsidRPr="00BF2628">
        <w:t>Member has a body weight of at least 40 kg</w:t>
      </w:r>
    </w:p>
    <w:p w14:paraId="73A86F68" w14:textId="77777777" w:rsidR="00DE080B" w:rsidRPr="00BF2628" w:rsidRDefault="00DE080B" w:rsidP="00DE080B">
      <w:pPr>
        <w:pStyle w:val="ListParagraph"/>
        <w:numPr>
          <w:ilvl w:val="0"/>
          <w:numId w:val="36"/>
        </w:numPr>
      </w:pPr>
      <w:r w:rsidRPr="00BF2628">
        <w:t>The diagnosis of PNH was confirmed by detecting a deficiency of glycosylphosphatidylinositol-anchored proteins (GPI-APs) (e.g., at least 5% PNH cells, at least 51% of GPI-AP deficient poly-morphonuclear cells)</w:t>
      </w:r>
    </w:p>
    <w:p w14:paraId="1FC6EFF4" w14:textId="77777777" w:rsidR="00DE080B" w:rsidRPr="00BF2628" w:rsidRDefault="00DE080B" w:rsidP="00DE080B">
      <w:pPr>
        <w:pStyle w:val="ListParagraph"/>
        <w:numPr>
          <w:ilvl w:val="0"/>
          <w:numId w:val="36"/>
        </w:numPr>
      </w:pPr>
      <w:r w:rsidRPr="00BF2628">
        <w:t>Flow cytometry is used to demonstrate GPI-APs deficiency</w:t>
      </w:r>
    </w:p>
    <w:p w14:paraId="2DF03131" w14:textId="77777777" w:rsidR="00DE080B" w:rsidRPr="00BF2628" w:rsidRDefault="00DE080B" w:rsidP="00DE080B">
      <w:pPr>
        <w:pStyle w:val="ListParagraph"/>
        <w:numPr>
          <w:ilvl w:val="0"/>
          <w:numId w:val="36"/>
        </w:numPr>
      </w:pPr>
      <w:r w:rsidRPr="00BF2628">
        <w:t>Member has and exhibits clinical manifestations of disease (e.g., LDH &gt; 1.5 ULN, thrombosis, renal dysfunction, pulmonary hypertension, dysphagia)</w:t>
      </w:r>
    </w:p>
    <w:p w14:paraId="729BFE90" w14:textId="77777777" w:rsidR="00DE080B" w:rsidRPr="00BF2628" w:rsidRDefault="00DE080B" w:rsidP="00DE080B">
      <w:pPr>
        <w:pStyle w:val="ListParagraph"/>
        <w:numPr>
          <w:ilvl w:val="0"/>
          <w:numId w:val="36"/>
        </w:numPr>
      </w:pPr>
      <w:r w:rsidRPr="00BF2628">
        <w:t xml:space="preserve">The requested medication will not be used in combination with another complement inhibitor (e.g., </w:t>
      </w:r>
      <w:proofErr w:type="spellStart"/>
      <w:r w:rsidRPr="00BF2628">
        <w:t>Empaveli</w:t>
      </w:r>
      <w:proofErr w:type="spellEnd"/>
      <w:r w:rsidRPr="00BF2628">
        <w:t xml:space="preserve">, </w:t>
      </w:r>
      <w:proofErr w:type="spellStart"/>
      <w:r w:rsidRPr="00BF2628">
        <w:t>Fabhalta</w:t>
      </w:r>
      <w:proofErr w:type="spellEnd"/>
      <w:r w:rsidRPr="00BF2628">
        <w:t>, Soliris, Ultomiris) for the treatment of PNH.</w:t>
      </w:r>
    </w:p>
    <w:bookmarkEnd w:id="1"/>
    <w:p w14:paraId="3F6425D3" w14:textId="1F0F5A7A" w:rsidR="00DE080B" w:rsidRPr="00BF2628" w:rsidRDefault="00DE080B" w:rsidP="00DE080B">
      <w:pPr>
        <w:pStyle w:val="Heading2"/>
      </w:pPr>
      <w:r w:rsidRPr="00BF2628">
        <w:t>Continuation of Therapy</w:t>
      </w:r>
    </w:p>
    <w:p w14:paraId="6348C11C" w14:textId="2B0EB84A" w:rsidR="00DE080B" w:rsidRPr="00BF2628" w:rsidRDefault="00DE080B" w:rsidP="00DE080B">
      <w:pPr>
        <w:pStyle w:val="Heading3"/>
      </w:pPr>
      <w:r w:rsidRPr="00BF2628">
        <w:t>Paroxysmal Nocturnal Hemoglobinuria</w:t>
      </w:r>
    </w:p>
    <w:p w14:paraId="79253021" w14:textId="6EC0AAAC" w:rsidR="00DE080B" w:rsidRPr="00BF2628" w:rsidRDefault="00DE080B" w:rsidP="00DE080B">
      <w:pPr>
        <w:pStyle w:val="BodyText"/>
      </w:pPr>
      <w:r w:rsidRPr="00BF2628">
        <w:t>Authorization of 12 months may be granted for continued treatment in members requesting reauthorization when all of the following criteria are met:</w:t>
      </w:r>
    </w:p>
    <w:p w14:paraId="22B44B1D" w14:textId="77777777" w:rsidR="00DE080B" w:rsidRPr="00BF2628" w:rsidRDefault="00DE080B" w:rsidP="00DE080B">
      <w:pPr>
        <w:pStyle w:val="ListParagraph"/>
        <w:numPr>
          <w:ilvl w:val="0"/>
          <w:numId w:val="37"/>
        </w:numPr>
      </w:pPr>
      <w:r w:rsidRPr="00BF2628">
        <w:t>There is no evidence of unacceptable toxicity or disease progression while on the current regimen.</w:t>
      </w:r>
    </w:p>
    <w:p w14:paraId="79B26B60" w14:textId="77777777" w:rsidR="00DE080B" w:rsidRPr="00BF2628" w:rsidRDefault="00DE080B" w:rsidP="00DE080B">
      <w:pPr>
        <w:pStyle w:val="ListParagraph"/>
        <w:numPr>
          <w:ilvl w:val="0"/>
          <w:numId w:val="37"/>
        </w:numPr>
      </w:pPr>
      <w:r w:rsidRPr="00BF2628">
        <w:t>The member demonstrates a positive response to therapy (e.g., improvement in hemoglobin levels, normalization of lactate dehydrogenase [LDH] levels).</w:t>
      </w:r>
    </w:p>
    <w:p w14:paraId="4CCE4BE4" w14:textId="77777777" w:rsidR="00DE080B" w:rsidRPr="00BF2628" w:rsidRDefault="00DE080B" w:rsidP="00DE080B">
      <w:pPr>
        <w:pStyle w:val="ListParagraph"/>
        <w:numPr>
          <w:ilvl w:val="0"/>
          <w:numId w:val="37"/>
        </w:numPr>
      </w:pPr>
      <w:r w:rsidRPr="00BF2628">
        <w:t xml:space="preserve">The requested medication will not be used in combination with another complement inhibitor (e.g., </w:t>
      </w:r>
      <w:proofErr w:type="spellStart"/>
      <w:r w:rsidRPr="00BF2628">
        <w:t>Empaveli</w:t>
      </w:r>
      <w:proofErr w:type="spellEnd"/>
      <w:r w:rsidRPr="00BF2628">
        <w:t xml:space="preserve">, </w:t>
      </w:r>
      <w:proofErr w:type="spellStart"/>
      <w:r w:rsidRPr="00BF2628">
        <w:t>Fabhalta</w:t>
      </w:r>
      <w:proofErr w:type="spellEnd"/>
      <w:r w:rsidRPr="00BF2628">
        <w:t xml:space="preserve"> Soliris, Ultomiris) for the treatment of PNH.</w:t>
      </w:r>
    </w:p>
    <w:p w14:paraId="17409917" w14:textId="706086BC" w:rsidR="00C96B3F" w:rsidRPr="00BF2628" w:rsidRDefault="00C96B3F" w:rsidP="008D1B34">
      <w:pPr>
        <w:pStyle w:val="Heading2"/>
      </w:pP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  <w:r w:rsidRPr="00BF2628">
        <w:t>References</w:t>
      </w:r>
    </w:p>
    <w:p w14:paraId="2A8D867D" w14:textId="77777777" w:rsidR="00DE080B" w:rsidRPr="00BF2628" w:rsidRDefault="00DE080B" w:rsidP="00DE080B">
      <w:pPr>
        <w:pStyle w:val="ReferenceOrdered"/>
        <w:keepNext w:val="0"/>
        <w:keepLines w:val="0"/>
      </w:pPr>
      <w:proofErr w:type="spellStart"/>
      <w:r w:rsidRPr="00BF2628">
        <w:t>Piasky</w:t>
      </w:r>
      <w:proofErr w:type="spellEnd"/>
      <w:r w:rsidRPr="00BF2628">
        <w:t xml:space="preserve"> [package insert]. South San Francisco, CA: Genentech, Inc.; June 2024.</w:t>
      </w:r>
    </w:p>
    <w:p w14:paraId="126D32B1" w14:textId="77777777" w:rsidR="00DE080B" w:rsidRPr="00BF2628" w:rsidRDefault="00DE080B" w:rsidP="00DE080B">
      <w:pPr>
        <w:pStyle w:val="ReferenceOrdered"/>
        <w:keepNext w:val="0"/>
        <w:keepLines w:val="0"/>
      </w:pPr>
      <w:r w:rsidRPr="00BF2628">
        <w:t>Parker CJ. Management of paroxysmal nocturnal hemoglobinuria in the era of complement inhibitory therapy. Hematology. 2011; 21-29.</w:t>
      </w:r>
    </w:p>
    <w:p w14:paraId="023E7C82" w14:textId="77777777" w:rsidR="00DE080B" w:rsidRPr="00BF2628" w:rsidRDefault="00DE080B" w:rsidP="00DE080B">
      <w:pPr>
        <w:pStyle w:val="ReferenceOrdered"/>
        <w:keepNext w:val="0"/>
        <w:keepLines w:val="0"/>
      </w:pPr>
      <w:r w:rsidRPr="00BF2628">
        <w:rPr>
          <w:lang w:val="nb-NO"/>
        </w:rPr>
        <w:t xml:space="preserve">Borowitz MJ, Craig F, DiGiuseppe JA, et al. </w:t>
      </w:r>
      <w:r w:rsidRPr="00BF2628">
        <w:t xml:space="preserve">Guidelines for the Diagnosis and Monitoring of Paroxysmal Nocturnal Hemoglobinuria and Related Disorders by Flow Cytometry. Cytometry B Clin </w:t>
      </w:r>
      <w:proofErr w:type="spellStart"/>
      <w:r w:rsidRPr="00BF2628">
        <w:t>Cytom</w:t>
      </w:r>
      <w:proofErr w:type="spellEnd"/>
      <w:r w:rsidRPr="00BF2628">
        <w:t>. 2010: 78: 211-230.</w:t>
      </w:r>
    </w:p>
    <w:p w14:paraId="323B304A" w14:textId="77777777" w:rsidR="00DE080B" w:rsidRPr="00BF2628" w:rsidRDefault="00DE080B" w:rsidP="00DE080B">
      <w:pPr>
        <w:pStyle w:val="ReferenceOrdered"/>
        <w:keepNext w:val="0"/>
        <w:keepLines w:val="0"/>
      </w:pPr>
      <w:r w:rsidRPr="00BF2628">
        <w:lastRenderedPageBreak/>
        <w:t>Preis M, Lowrey CH. Laboratory tests for paroxysmal nocturnal hemoglobinuria (PNH). Am J Hematol. 2014;89(3):339-341.</w:t>
      </w:r>
    </w:p>
    <w:p w14:paraId="23B84F0B" w14:textId="77777777" w:rsidR="00DE080B" w:rsidRPr="00BF2628" w:rsidRDefault="00DE080B" w:rsidP="00DE080B">
      <w:pPr>
        <w:pStyle w:val="ReferenceOrdered"/>
        <w:keepNext w:val="0"/>
        <w:keepLines w:val="0"/>
      </w:pPr>
      <w:r w:rsidRPr="00BF2628">
        <w:t>Parker CJ. Update on the diagnosis and management of paroxysmal nocturnal hemoglobinuria. Hematology Am Soc Hematol Educ Program. 2016;2016(1):208-216.</w:t>
      </w:r>
    </w:p>
    <w:p w14:paraId="70BD2066" w14:textId="77777777" w:rsidR="00DE080B" w:rsidRPr="00BF2628" w:rsidRDefault="00DE080B" w:rsidP="00DE080B">
      <w:pPr>
        <w:pStyle w:val="ReferenceOrdered"/>
        <w:keepNext w:val="0"/>
        <w:keepLines w:val="0"/>
      </w:pPr>
      <w:r w:rsidRPr="00BF2628">
        <w:t xml:space="preserve">Dezern AE, Borowitz MJ. ICCS/ESCCA consensus guidelines to detect GPI-deficient cells in paroxysmal nocturnal hemoglobinuria (PNH) and related disorders part 1 - clinical utility. Cytometry B Clin </w:t>
      </w:r>
      <w:proofErr w:type="spellStart"/>
      <w:r w:rsidRPr="00BF2628">
        <w:t>Cytom</w:t>
      </w:r>
      <w:proofErr w:type="spellEnd"/>
      <w:r w:rsidRPr="00BF2628">
        <w:t>. 2018 Jan;94(1):16-22.</w:t>
      </w:r>
    </w:p>
    <w:p w14:paraId="2482EEE5" w14:textId="48E731A7" w:rsidR="001D164A" w:rsidRPr="00BF2628" w:rsidRDefault="00DE080B" w:rsidP="00016639">
      <w:pPr>
        <w:pStyle w:val="ReferenceOrdered"/>
      </w:pPr>
      <w:r w:rsidRPr="00BF2628">
        <w:t>Clinical Consult: CVS Caremark Clinical Program Review. Focus on Paroxysmal Nocturnal Hemoglobinuria (PNH). July 2024.</w:t>
      </w:r>
    </w:p>
    <w:sectPr w:rsidR="001D164A" w:rsidRPr="00BF2628" w:rsidSect="0099327D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C5F78" w14:textId="77777777" w:rsidR="00E56681" w:rsidRDefault="00E56681">
      <w:r>
        <w:separator/>
      </w:r>
    </w:p>
  </w:endnote>
  <w:endnote w:type="continuationSeparator" w:id="0">
    <w:p w14:paraId="22305952" w14:textId="77777777" w:rsidR="00E56681" w:rsidRDefault="00E56681">
      <w:r>
        <w:continuationSeparator/>
      </w:r>
    </w:p>
  </w:endnote>
  <w:endnote w:type="continuationNotice" w:id="1">
    <w:p w14:paraId="19B168E3" w14:textId="77777777" w:rsidR="00E56681" w:rsidRDefault="00E566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868BC6A" w:rsidR="00C36B72" w:rsidRPr="00957782" w:rsidRDefault="00016639" w:rsidP="00CD25F5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>
      <w:t>Piasky SGM 6538-A P2024_R.docx</w:t>
    </w:r>
    <w:r>
      <w:fldChar w:fldCharType="end"/>
    </w:r>
    <w:r w:rsidR="00C36B72" w:rsidRPr="00957782">
      <w:tab/>
      <w:t>© 202</w:t>
    </w:r>
    <w:r w:rsidR="008B6DBE" w:rsidRPr="00957782">
      <w:t>4</w:t>
    </w:r>
    <w:r w:rsidR="00C36B72" w:rsidRPr="00957782">
      <w:t xml:space="preserve"> CVS Caremark. All rights reserved.</w:t>
    </w:r>
  </w:p>
  <w:p w14:paraId="61CF5924" w14:textId="26ADD791" w:rsidR="00C36B72" w:rsidRPr="00957782" w:rsidRDefault="00C36B72" w:rsidP="00A20623">
    <w:pPr>
      <w:pStyle w:val="Marginfooterdisclaimer"/>
    </w:pPr>
    <w:r w:rsidRPr="00957782">
      <w:t>This document contains c</w:t>
    </w:r>
    <w:r w:rsidRPr="00957782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957782">
      <w:t xml:space="preserve">This document contains prescription brand name drugs that are trademarks or registered trademarks of pharmaceutical manufacturers that are not affiliated with </w:t>
    </w:r>
    <w:r w:rsidRPr="00957782">
      <w:rPr>
        <w:snapToGrid w:val="0"/>
      </w:rPr>
      <w:t>CVS Caremark</w:t>
    </w:r>
    <w:r w:rsidRPr="00957782">
      <w:t>.</w:t>
    </w:r>
  </w:p>
  <w:p w14:paraId="0DF8DEBC" w14:textId="17E2560C" w:rsidR="00F75C81" w:rsidRPr="00957782" w:rsidRDefault="00C36B72" w:rsidP="0099327D">
    <w:pPr>
      <w:autoSpaceDE w:val="0"/>
      <w:autoSpaceDN w:val="0"/>
      <w:adjustRightInd w:val="0"/>
      <w:jc w:val="center"/>
      <w:rPr>
        <w:sz w:val="16"/>
        <w:szCs w:val="16"/>
      </w:rPr>
    </w:pPr>
    <w:r w:rsidRPr="00957782">
      <w:rPr>
        <w:rFonts w:cs="Arial"/>
        <w:sz w:val="16"/>
        <w:szCs w:val="16"/>
      </w:rPr>
      <w:fldChar w:fldCharType="begin"/>
    </w:r>
    <w:r w:rsidRPr="00957782">
      <w:rPr>
        <w:rFonts w:cs="Arial"/>
        <w:sz w:val="16"/>
        <w:szCs w:val="16"/>
      </w:rPr>
      <w:instrText xml:space="preserve"> PAGE </w:instrText>
    </w:r>
    <w:r w:rsidRPr="00957782">
      <w:rPr>
        <w:rFonts w:cs="Arial"/>
        <w:sz w:val="16"/>
        <w:szCs w:val="16"/>
      </w:rPr>
      <w:fldChar w:fldCharType="separate"/>
    </w:r>
    <w:r w:rsidRPr="00957782">
      <w:rPr>
        <w:rFonts w:cs="Arial"/>
        <w:sz w:val="16"/>
        <w:szCs w:val="16"/>
      </w:rPr>
      <w:t>8</w:t>
    </w:r>
    <w:r w:rsidRPr="00957782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CBF7D7B" w:rsidR="00F50D98" w:rsidRPr="00206AA5" w:rsidRDefault="00016639" w:rsidP="00CD25F5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 w:rsidR="009E2734" w:rsidRPr="0099327D">
      <w:rPr>
        <w:snapToGrid/>
        <w:color w:val="auto"/>
      </w:rPr>
      <w:t>Piasky</w:t>
    </w:r>
    <w:r w:rsidR="009E2734">
      <w:t xml:space="preserve"> SGM 6538-A</w:t>
    </w:r>
    <w:r w:rsidR="009E2734" w:rsidRPr="0099327D">
      <w:rPr>
        <w:snapToGrid/>
        <w:color w:val="auto"/>
      </w:rPr>
      <w:t xml:space="preserve"> 2024</w:t>
    </w:r>
    <w:r w:rsidR="009E2734">
      <w:t>_R.docx</w:t>
    </w:r>
    <w:r>
      <w:fldChar w:fldCharType="end"/>
    </w:r>
    <w:r w:rsidR="00F50D98" w:rsidRPr="00206AA5">
      <w:tab/>
      <w:t>© 202</w:t>
    </w:r>
    <w:r w:rsidR="00D74279" w:rsidRPr="00206AA5">
      <w:t>4</w:t>
    </w:r>
    <w:r w:rsidR="00F50D98" w:rsidRPr="00206AA5">
      <w:t xml:space="preserve"> CVS Caremark. All rights reserved.</w:t>
    </w:r>
  </w:p>
  <w:p w14:paraId="39BFE579" w14:textId="1D87A1C2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11C834A7" w:rsidR="00ED04EC" w:rsidRPr="00F50D98" w:rsidRDefault="00F50D98" w:rsidP="0099327D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2F36" w14:textId="77777777" w:rsidR="00E56681" w:rsidRDefault="00E56681">
      <w:r>
        <w:separator/>
      </w:r>
    </w:p>
  </w:footnote>
  <w:footnote w:type="continuationSeparator" w:id="0">
    <w:p w14:paraId="1DC0645E" w14:textId="77777777" w:rsidR="00E56681" w:rsidRDefault="00E56681">
      <w:r>
        <w:continuationSeparator/>
      </w:r>
    </w:p>
  </w:footnote>
  <w:footnote w:type="continuationNotice" w:id="1">
    <w:p w14:paraId="6F9574EC" w14:textId="77777777" w:rsidR="00E56681" w:rsidRDefault="00E566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2F73D6C" w:rsidR="00ED04EC" w:rsidRPr="00AA1E6A" w:rsidRDefault="00DE080B" w:rsidP="00C67E81">
          <w:pPr>
            <w:pStyle w:val="RefTableData"/>
          </w:pPr>
          <w:r w:rsidRPr="00DE080B">
            <w:t>6538-A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EF08DB"/>
    <w:multiLevelType w:val="hybridMultilevel"/>
    <w:tmpl w:val="EF703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ED509EE"/>
    <w:multiLevelType w:val="hybridMultilevel"/>
    <w:tmpl w:val="1E225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A3993"/>
    <w:multiLevelType w:val="hybridMultilevel"/>
    <w:tmpl w:val="045C9CC0"/>
    <w:lvl w:ilvl="0" w:tplc="04090015">
      <w:start w:val="1"/>
      <w:numFmt w:val="upperLetter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280636"/>
    <w:multiLevelType w:val="hybridMultilevel"/>
    <w:tmpl w:val="951CBA16"/>
    <w:lvl w:ilvl="0" w:tplc="04090015">
      <w:start w:val="1"/>
      <w:numFmt w:val="upperLetter"/>
      <w:lvlText w:val="%1."/>
      <w:lvlJc w:val="left"/>
      <w:pPr>
        <w:ind w:left="1800" w:hanging="360"/>
      </w:pPr>
      <w:rPr>
        <w:color w:val="auto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B4A820D8">
      <w:start w:val="1"/>
      <w:numFmt w:val="decimal"/>
      <w:lvlText w:val="%4."/>
      <w:lvlJc w:val="left"/>
      <w:pPr>
        <w:ind w:left="216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2520" w:hanging="360"/>
      </w:pPr>
    </w:lvl>
    <w:lvl w:ilvl="5" w:tplc="0409001B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47FCD"/>
    <w:multiLevelType w:val="hybridMultilevel"/>
    <w:tmpl w:val="657E0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260B1"/>
    <w:multiLevelType w:val="hybridMultilevel"/>
    <w:tmpl w:val="7D14D1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9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4"/>
  </w:num>
  <w:num w:numId="18" w16cid:durableId="299724409">
    <w:abstractNumId w:val="24"/>
  </w:num>
  <w:num w:numId="19" w16cid:durableId="214585573">
    <w:abstractNumId w:val="14"/>
  </w:num>
  <w:num w:numId="20" w16cid:durableId="1289816170">
    <w:abstractNumId w:val="17"/>
  </w:num>
  <w:num w:numId="21" w16cid:durableId="1066490929">
    <w:abstractNumId w:val="35"/>
  </w:num>
  <w:num w:numId="22" w16cid:durableId="1472481103">
    <w:abstractNumId w:val="26"/>
  </w:num>
  <w:num w:numId="23" w16cid:durableId="1997420403">
    <w:abstractNumId w:val="30"/>
  </w:num>
  <w:num w:numId="24" w16cid:durableId="33312838">
    <w:abstractNumId w:val="25"/>
  </w:num>
  <w:num w:numId="25" w16cid:durableId="507404939">
    <w:abstractNumId w:val="19"/>
  </w:num>
  <w:num w:numId="26" w16cid:durableId="1226261476">
    <w:abstractNumId w:val="32"/>
  </w:num>
  <w:num w:numId="27" w16cid:durableId="96827982">
    <w:abstractNumId w:val="33"/>
  </w:num>
  <w:num w:numId="28" w16cid:durableId="1865433629">
    <w:abstractNumId w:val="22"/>
  </w:num>
  <w:num w:numId="29" w16cid:durableId="1974553387">
    <w:abstractNumId w:val="28"/>
  </w:num>
  <w:num w:numId="30" w16cid:durableId="2105029227">
    <w:abstractNumId w:val="29"/>
    <w:lvlOverride w:ilvl="0">
      <w:startOverride w:val="1"/>
    </w:lvlOverride>
  </w:num>
  <w:num w:numId="31" w16cid:durableId="209264670">
    <w:abstractNumId w:val="31"/>
  </w:num>
  <w:num w:numId="32" w16cid:durableId="66999852">
    <w:abstractNumId w:val="18"/>
  </w:num>
  <w:num w:numId="33" w16cid:durableId="1405489369">
    <w:abstractNumId w:val="16"/>
  </w:num>
  <w:num w:numId="34" w16cid:durableId="1395008878">
    <w:abstractNumId w:val="27"/>
  </w:num>
  <w:num w:numId="35" w16cid:durableId="1358850642">
    <w:abstractNumId w:val="15"/>
  </w:num>
  <w:num w:numId="36" w16cid:durableId="1770079109">
    <w:abstractNumId w:val="13"/>
  </w:num>
  <w:num w:numId="37" w16cid:durableId="1553419810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23A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639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6BB0"/>
    <w:rsid w:val="00037636"/>
    <w:rsid w:val="00037A95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28F6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228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E73D8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4B2C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6AD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782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27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2734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0C36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2628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E81"/>
    <w:rsid w:val="00C700FE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9DF"/>
    <w:rsid w:val="00D5579C"/>
    <w:rsid w:val="00D56213"/>
    <w:rsid w:val="00D566EA"/>
    <w:rsid w:val="00D56FC3"/>
    <w:rsid w:val="00D578A8"/>
    <w:rsid w:val="00D6162B"/>
    <w:rsid w:val="00D61C4D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26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080B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1D9"/>
    <w:rsid w:val="00DF14FB"/>
    <w:rsid w:val="00DF2A72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202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16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681"/>
    <w:rsid w:val="00E56F98"/>
    <w:rsid w:val="00E56FD5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472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5A9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097baaf9-fe6e-444b-a443-f8829fe0d75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2d971b4b-3871-4fed-95a2-90db307505b7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671326-561C-4556-93D9-E88D53B516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518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Piasky SGM 6538-A 2024</dc:title>
  <dc:subject/>
  <dc:creator>CVS Caremark</dc:creator>
  <cp:keywords/>
  <cp:lastModifiedBy>Ortiz, Erica M</cp:lastModifiedBy>
  <cp:revision>14</cp:revision>
  <cp:lastPrinted>2018-01-09T08:01:00Z</cp:lastPrinted>
  <dcterms:created xsi:type="dcterms:W3CDTF">2024-09-12T13:06:00Z</dcterms:created>
  <dcterms:modified xsi:type="dcterms:W3CDTF">2024-12-27T00:19:00Z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2012000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